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6" w:type="dxa"/>
        <w:tblLook w:val="01E0" w:firstRow="1" w:lastRow="1" w:firstColumn="1" w:lastColumn="1" w:noHBand="0" w:noVBand="0"/>
      </w:tblPr>
      <w:tblGrid>
        <w:gridCol w:w="3888"/>
        <w:gridCol w:w="2492"/>
        <w:gridCol w:w="3566"/>
      </w:tblGrid>
      <w:tr w:rsidR="00CC38DF" w:rsidTr="00CC38DF">
        <w:tc>
          <w:tcPr>
            <w:tcW w:w="3888" w:type="dxa"/>
          </w:tcPr>
          <w:p w:rsidR="00CC38DF" w:rsidRDefault="00CC38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CC38DF" w:rsidRDefault="00CC38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Изьва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</w:p>
          <w:p w:rsidR="00CC38DF" w:rsidRDefault="00CC38DF">
            <w:pPr>
              <w:tabs>
                <w:tab w:val="left" w:pos="2460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сикт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овмöдчöминса</w:t>
            </w:r>
            <w:proofErr w:type="spellEnd"/>
          </w:p>
          <w:p w:rsidR="00CC38DF" w:rsidRDefault="00CC38D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администрация</w:t>
            </w:r>
          </w:p>
        </w:tc>
        <w:tc>
          <w:tcPr>
            <w:tcW w:w="2492" w:type="dxa"/>
          </w:tcPr>
          <w:p w:rsidR="00CC38DF" w:rsidRDefault="00CC38D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8DF" w:rsidRDefault="00CC38D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6" w:type="dxa"/>
          </w:tcPr>
          <w:p w:rsidR="00CC38DF" w:rsidRDefault="00CC38D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38DF" w:rsidRDefault="00CC38D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</w:p>
          <w:p w:rsidR="00CC38DF" w:rsidRDefault="00CC38D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</w:t>
            </w:r>
          </w:p>
          <w:p w:rsidR="00CC38DF" w:rsidRDefault="00CC38D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«Ижма»</w:t>
            </w:r>
          </w:p>
        </w:tc>
      </w:tr>
    </w:tbl>
    <w:p w:rsidR="00CC38DF" w:rsidRDefault="00CC38DF" w:rsidP="00CC38DF">
      <w:pPr>
        <w:pStyle w:val="1"/>
        <w:rPr>
          <w:spacing w:val="120"/>
          <w:sz w:val="26"/>
          <w:szCs w:val="26"/>
          <w:lang w:val="ru-RU"/>
        </w:rPr>
      </w:pPr>
    </w:p>
    <w:p w:rsidR="00CC38DF" w:rsidRDefault="00CC38DF" w:rsidP="00CC38DF">
      <w:pPr>
        <w:pStyle w:val="1"/>
        <w:jc w:val="center"/>
        <w:rPr>
          <w:spacing w:val="120"/>
          <w:sz w:val="28"/>
          <w:szCs w:val="28"/>
        </w:rPr>
      </w:pPr>
      <w:r>
        <w:rPr>
          <w:spacing w:val="120"/>
          <w:sz w:val="28"/>
          <w:szCs w:val="28"/>
        </w:rPr>
        <w:t>ШУÖМ</w:t>
      </w:r>
    </w:p>
    <w:p w:rsidR="00CC38DF" w:rsidRDefault="00CC38DF" w:rsidP="00CC38DF">
      <w:pPr>
        <w:pStyle w:val="1"/>
        <w:jc w:val="center"/>
        <w:rPr>
          <w:sz w:val="28"/>
          <w:szCs w:val="28"/>
        </w:rPr>
      </w:pPr>
    </w:p>
    <w:p w:rsidR="00CC38DF" w:rsidRDefault="00CC38DF" w:rsidP="00CC38D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CC38DF" w:rsidRDefault="00CC38DF" w:rsidP="00CC38DF">
      <w:pPr>
        <w:pStyle w:val="1"/>
        <w:rPr>
          <w:spacing w:val="120"/>
          <w:sz w:val="24"/>
          <w:szCs w:val="24"/>
        </w:rPr>
      </w:pPr>
      <w:r>
        <w:rPr>
          <w:spacing w:val="120"/>
          <w:sz w:val="24"/>
          <w:szCs w:val="24"/>
        </w:rPr>
        <w:t xml:space="preserve">  </w:t>
      </w:r>
    </w:p>
    <w:p w:rsidR="00CC38DF" w:rsidRDefault="00CC38DF" w:rsidP="00CC38DF">
      <w:pPr>
        <w:rPr>
          <w:sz w:val="28"/>
          <w:szCs w:val="28"/>
        </w:rPr>
      </w:pPr>
    </w:p>
    <w:p w:rsidR="00CC38DF" w:rsidRDefault="00CC38DF" w:rsidP="00CC38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</w:t>
      </w:r>
      <w:r w:rsidR="007C6383">
        <w:rPr>
          <w:rFonts w:ascii="Times New Roman" w:hAnsi="Times New Roman"/>
          <w:sz w:val="28"/>
          <w:szCs w:val="28"/>
        </w:rPr>
        <w:t xml:space="preserve">5 апреля </w:t>
      </w:r>
      <w:r>
        <w:rPr>
          <w:rFonts w:ascii="Times New Roman" w:hAnsi="Times New Roman"/>
          <w:sz w:val="28"/>
          <w:szCs w:val="28"/>
        </w:rPr>
        <w:t xml:space="preserve">  2018 года                                                                        № </w:t>
      </w:r>
      <w:r w:rsidR="007C6383">
        <w:rPr>
          <w:rFonts w:ascii="Times New Roman" w:hAnsi="Times New Roman"/>
          <w:sz w:val="28"/>
          <w:szCs w:val="28"/>
        </w:rPr>
        <w:t>22</w:t>
      </w:r>
    </w:p>
    <w:p w:rsidR="00CC38DF" w:rsidRDefault="00CC38DF" w:rsidP="00CC38D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Республика Коми, </w:t>
      </w:r>
      <w:proofErr w:type="spellStart"/>
      <w:r>
        <w:rPr>
          <w:rFonts w:ascii="Times New Roman" w:hAnsi="Times New Roman"/>
        </w:rPr>
        <w:t>Ижемский</w:t>
      </w:r>
      <w:proofErr w:type="spellEnd"/>
      <w:r>
        <w:rPr>
          <w:rFonts w:ascii="Times New Roman" w:hAnsi="Times New Roman"/>
        </w:rPr>
        <w:t xml:space="preserve">  район,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 Ижма</w:t>
      </w:r>
    </w:p>
    <w:p w:rsidR="00CC38DF" w:rsidRDefault="00CC38DF" w:rsidP="00CC38DF">
      <w:pPr>
        <w:pStyle w:val="ConsPlusTitle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CC38DF" w:rsidRDefault="00CC38DF" w:rsidP="00CC38DF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CC38DF" w:rsidRDefault="00CC38DF" w:rsidP="00CC38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 внесении  изменений  в  постановление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программы «Благоустройство территории сельского  поселения «Ижма» на 2018-2020 годы»</w:t>
      </w:r>
    </w:p>
    <w:p w:rsidR="00CC38DF" w:rsidRDefault="00CC38DF" w:rsidP="00CC38DF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38DF" w:rsidRDefault="00CC38DF" w:rsidP="00CC38DF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C38DF" w:rsidRDefault="00CC38DF" w:rsidP="00CC38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связи с необходимостью развития и поддержки сферы благоустройства сельского поселения «Ижма», определения приоритетных направлений и разработки  комплекса, конкретных мер развития отрасли на 2018-2020 годы и в соответствии с Постановлением администрации сельского поселения «Ижма» № 3 от 13.02.2015 года «Об утверждении положения о порядке разработки, формировании и реализации муниципальных  программ  сельского поселения  «Ижма»  администрация  сельского поселения «Ижма»     </w:t>
      </w:r>
      <w:proofErr w:type="gramEnd"/>
    </w:p>
    <w:p w:rsidR="00CC38DF" w:rsidRDefault="00CC38DF" w:rsidP="00CC38D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38DF" w:rsidRDefault="00CC38DF" w:rsidP="00CC38D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«Ижма»</w:t>
      </w:r>
    </w:p>
    <w:p w:rsidR="00CC38DF" w:rsidRDefault="00CC38DF" w:rsidP="00CC38D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C38DF" w:rsidRDefault="00CC38DF" w:rsidP="00CC38D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CC38DF" w:rsidRDefault="00CC38DF" w:rsidP="00CC38D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C38DF" w:rsidRDefault="00CC38DF" w:rsidP="00CC38DF">
      <w:pPr>
        <w:spacing w:after="0" w:line="240" w:lineRule="auto"/>
        <w:jc w:val="both"/>
        <w:rPr>
          <w:rFonts w:cs="Calibri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1. Внести  изменения в  муниципальную программу </w:t>
      </w:r>
      <w:r>
        <w:rPr>
          <w:rFonts w:ascii="Times New Roman" w:hAnsi="Times New Roman"/>
          <w:bCs/>
          <w:sz w:val="28"/>
          <w:szCs w:val="28"/>
        </w:rPr>
        <w:t xml:space="preserve">«Благоустройство территории </w:t>
      </w:r>
      <w:r>
        <w:rPr>
          <w:rFonts w:ascii="Times New Roman" w:hAnsi="Times New Roman"/>
          <w:sz w:val="28"/>
          <w:szCs w:val="28"/>
        </w:rPr>
        <w:t>сельского поселения «Ижма»» на 2018-2020 годы»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утвержденную постановлением от   24.01.2018    № 4  «Об утверждении муниципальной программы   </w:t>
      </w:r>
      <w:r>
        <w:rPr>
          <w:rFonts w:ascii="Times New Roman" w:hAnsi="Times New Roman"/>
          <w:bCs/>
          <w:sz w:val="28"/>
          <w:szCs w:val="28"/>
        </w:rPr>
        <w:t xml:space="preserve">«Благоустройство территории </w:t>
      </w:r>
      <w:r>
        <w:rPr>
          <w:rFonts w:ascii="Times New Roman" w:hAnsi="Times New Roman"/>
          <w:sz w:val="28"/>
          <w:szCs w:val="28"/>
        </w:rPr>
        <w:t>сельского поселения «Ижма» на 2018-2020 годы», согласно приложению.</w:t>
      </w:r>
    </w:p>
    <w:p w:rsidR="00CC38DF" w:rsidRDefault="00CC38DF" w:rsidP="00CC3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C38DF" w:rsidRDefault="00CC38DF" w:rsidP="00CC38DF">
      <w:pPr>
        <w:pStyle w:val="13"/>
        <w:shd w:val="clear" w:color="auto" w:fill="auto"/>
        <w:spacing w:after="0" w:line="240" w:lineRule="atLeast"/>
        <w:ind w:left="20" w:right="40" w:hanging="20"/>
        <w:jc w:val="both"/>
      </w:pPr>
      <w:r>
        <w:rPr>
          <w:sz w:val="28"/>
          <w:szCs w:val="28"/>
        </w:rPr>
        <w:t xml:space="preserve">         3</w:t>
      </w:r>
      <w:r>
        <w:t xml:space="preserve">. </w:t>
      </w:r>
      <w:r>
        <w:rPr>
          <w:sz w:val="28"/>
          <w:szCs w:val="28"/>
        </w:rPr>
        <w:t>Настоящее постановление вступает в силу со дня обнародования на официальных стендах сельского поселения «Ижма».</w:t>
      </w:r>
    </w:p>
    <w:p w:rsidR="00CC38DF" w:rsidRDefault="00CC38DF" w:rsidP="00CC38DF">
      <w:pPr>
        <w:jc w:val="both"/>
        <w:rPr>
          <w:rFonts w:ascii="Times New Roman" w:hAnsi="Times New Roman"/>
          <w:sz w:val="28"/>
          <w:szCs w:val="28"/>
        </w:rPr>
      </w:pPr>
    </w:p>
    <w:p w:rsidR="00CC38DF" w:rsidRDefault="00CC38DF" w:rsidP="00CC38DF">
      <w:pPr>
        <w:jc w:val="both"/>
        <w:rPr>
          <w:sz w:val="28"/>
          <w:szCs w:val="28"/>
        </w:rPr>
      </w:pPr>
    </w:p>
    <w:p w:rsidR="00CC38DF" w:rsidRDefault="00CC38DF" w:rsidP="00CC38D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сельского  поселения  «Ижма»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И.Н.Истомин</w:t>
      </w:r>
      <w:proofErr w:type="spellEnd"/>
    </w:p>
    <w:p w:rsidR="00CC38DF" w:rsidRDefault="00CC38DF" w:rsidP="00CC38D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8DF" w:rsidRDefault="00CC38DF" w:rsidP="00CC38DF">
      <w:pPr>
        <w:pStyle w:val="ConsPlusNormal"/>
        <w:outlineLvl w:val="0"/>
        <w:rPr>
          <w:rFonts w:ascii="Times New Roman" w:hAnsi="Times New Roman" w:cs="Times New Roman"/>
        </w:rPr>
      </w:pPr>
    </w:p>
    <w:p w:rsidR="007A3792" w:rsidRDefault="007A3792" w:rsidP="007A3792">
      <w:pPr>
        <w:spacing w:after="0" w:line="240" w:lineRule="auto"/>
        <w:ind w:left="566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7A3792" w:rsidRDefault="007A3792" w:rsidP="007A379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Утверждена </w:t>
      </w:r>
    </w:p>
    <w:p w:rsidR="007A3792" w:rsidRDefault="007A3792" w:rsidP="007A379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Постановлением</w:t>
      </w:r>
    </w:p>
    <w:p w:rsidR="007A3792" w:rsidRDefault="007A3792" w:rsidP="007A379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главы сельского поселения «Ижма» </w:t>
      </w:r>
    </w:p>
    <w:p w:rsidR="007A3792" w:rsidRDefault="007A3792" w:rsidP="007A379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25.04.2018 . №  22</w:t>
      </w:r>
    </w:p>
    <w:p w:rsidR="007A3792" w:rsidRDefault="007A3792" w:rsidP="007A3792">
      <w:pPr>
        <w:jc w:val="right"/>
        <w:rPr>
          <w:rFonts w:ascii="Times New Roman" w:hAnsi="Times New Roman"/>
        </w:rPr>
      </w:pPr>
    </w:p>
    <w:p w:rsidR="007A3792" w:rsidRDefault="007A3792" w:rsidP="007A3792">
      <w:pPr>
        <w:jc w:val="right"/>
        <w:rPr>
          <w:rFonts w:ascii="Times New Roman" w:hAnsi="Times New Roman"/>
        </w:rPr>
      </w:pPr>
    </w:p>
    <w:p w:rsidR="007A3792" w:rsidRDefault="007A3792" w:rsidP="007A3792">
      <w:pPr>
        <w:jc w:val="right"/>
        <w:rPr>
          <w:rFonts w:ascii="Times New Roman" w:hAnsi="Times New Roman"/>
        </w:rPr>
      </w:pPr>
    </w:p>
    <w:p w:rsidR="007A3792" w:rsidRDefault="007A3792" w:rsidP="007A3792">
      <w:pPr>
        <w:jc w:val="right"/>
        <w:rPr>
          <w:rFonts w:ascii="Times New Roman" w:hAnsi="Times New Roman"/>
        </w:rPr>
      </w:pPr>
    </w:p>
    <w:p w:rsidR="007A3792" w:rsidRDefault="007A3792" w:rsidP="007A3792">
      <w:pPr>
        <w:jc w:val="right"/>
        <w:rPr>
          <w:rFonts w:ascii="Times New Roman" w:hAnsi="Times New Roman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</w:p>
    <w:p w:rsidR="007A3792" w:rsidRDefault="007A3792" w:rsidP="007A3792">
      <w:pPr>
        <w:jc w:val="center"/>
        <w:rPr>
          <w:rFonts w:ascii="Times New Roman" w:hAnsi="Times New Roman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«Благоустройство территории сельского поселения «Ижма»</w:t>
      </w: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2018-2020 годы»</w:t>
      </w: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  <w:sz w:val="28"/>
          <w:szCs w:val="28"/>
        </w:rPr>
      </w:pPr>
    </w:p>
    <w:p w:rsidR="007A3792" w:rsidRDefault="007A3792" w:rsidP="007A3792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 Ижма</w:t>
      </w:r>
    </w:p>
    <w:p w:rsidR="007A3792" w:rsidRDefault="007A3792" w:rsidP="007A3792">
      <w:pPr>
        <w:jc w:val="center"/>
        <w:rPr>
          <w:rFonts w:ascii="Times New Roman" w:hAnsi="Times New Roman"/>
        </w:rPr>
      </w:pPr>
    </w:p>
    <w:p w:rsidR="007A3792" w:rsidRDefault="007A3792" w:rsidP="007A37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7A3792" w:rsidRDefault="007A3792" w:rsidP="007A37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7A3792" w:rsidRDefault="007A3792" w:rsidP="007A37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«Благоустройство территории сельского поселения «Ижма» </w:t>
      </w:r>
    </w:p>
    <w:p w:rsidR="007A3792" w:rsidRDefault="007A3792" w:rsidP="007A37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2018-2020 годы»</w:t>
      </w:r>
    </w:p>
    <w:tbl>
      <w:tblPr>
        <w:tblW w:w="103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16"/>
        <w:gridCol w:w="8234"/>
      </w:tblGrid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«Благоустройство территории сельского поселения «Ижма» на 2018-2020 годы» (далее –  Программа)</w:t>
            </w:r>
          </w:p>
        </w:tc>
      </w:tr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Устав сельского поселения «Ижма», Положение об утверждении порядка принятия решений о разработке муниципальных программ сельского поселения «Ижма» и их формирования и реализации, утвержденное Постановлением сельского поселения «Ижма» от 24.01.2018 года № 5, Правила содержания и благоустройства территории муниципального образования сельского поселения «Ижма», утвержденные решением Совета сельского поселения «Ижма» от 01 июня 2012 года № 2-31/1</w:t>
            </w:r>
            <w:proofErr w:type="gramEnd"/>
          </w:p>
        </w:tc>
      </w:tr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Муниципаль-ный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заказчик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«Ижма»</w:t>
            </w:r>
          </w:p>
        </w:tc>
      </w:tr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Разработчик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«Ижма»</w:t>
            </w:r>
          </w:p>
        </w:tc>
      </w:tr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Цели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решение проблем благоустройства, обеспечение и улучшение внешнего вида территории сельского поселения «Ижма», способствующего комфортной жизнедеятельности, создание комфортных условий проживания и отдыха населения.</w:t>
            </w:r>
          </w:p>
        </w:tc>
      </w:tr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 взаимодействия между предприятиями, организациями и учреждениями при решении вопросов благоустройства сельского поселения;</w:t>
            </w:r>
          </w:p>
          <w:p w:rsidR="007A3792" w:rsidRDefault="007A3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Приведение в качественное состояние элементов благоустройства населенных пунктов;</w:t>
            </w:r>
          </w:p>
          <w:p w:rsidR="007A3792" w:rsidRDefault="007A3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Привлечение жителей к участию в решении проблем благоустройства населенных пунктов.</w:t>
            </w:r>
          </w:p>
        </w:tc>
      </w:tr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Исполнитель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«Ижма»</w:t>
            </w:r>
          </w:p>
        </w:tc>
      </w:tr>
      <w:tr w:rsidR="007A3792" w:rsidTr="007A3792">
        <w:trPr>
          <w:trHeight w:val="627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2018-2020 </w:t>
            </w: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Объем и источники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финансирова-ния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за счет средств местного бюджета составляет 4810,26 тыс. рублей  том числе:</w:t>
            </w:r>
          </w:p>
          <w:p w:rsidR="007A3792" w:rsidRDefault="007A3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2060,52 тыс. рублей, </w:t>
            </w:r>
          </w:p>
          <w:p w:rsidR="007A3792" w:rsidRDefault="007A3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1441,87 тыс. рублей, </w:t>
            </w:r>
          </w:p>
          <w:p w:rsidR="007A3792" w:rsidRDefault="007A3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1307,87 тыс. рублей.</w:t>
            </w:r>
          </w:p>
        </w:tc>
      </w:tr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Перечень основных направлений </w:t>
            </w:r>
          </w:p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 мероприятий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Техническое обслуживание и содержание сетей наружного (уличного) освещения;</w:t>
            </w:r>
          </w:p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Содержание улиц, переулков, подъездов в проезжем состоянии;</w:t>
            </w:r>
          </w:p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Содержание мест захоронения;</w:t>
            </w:r>
          </w:p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Сбор и вывоз с мест общего пользования мусора;</w:t>
            </w:r>
          </w:p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объектов имущества, находящихся в местах общего пользования;</w:t>
            </w:r>
          </w:p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Обновление адресных указателей названий улиц и номеров домов.</w:t>
            </w:r>
          </w:p>
        </w:tc>
      </w:tr>
      <w:tr w:rsidR="007A3792" w:rsidTr="007A3792"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Ожидаемые и конечные результаты от реализации программы</w:t>
            </w:r>
          </w:p>
        </w:tc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благоустройства территории сельского поселения «Ижма»;</w:t>
            </w:r>
          </w:p>
          <w:p w:rsidR="007A3792" w:rsidRDefault="007A3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Развитие положительных тенденций в создании благоприятной среды жизнедеятельности;</w:t>
            </w:r>
          </w:p>
          <w:p w:rsidR="007A3792" w:rsidRDefault="007A3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Повышение степени удовлетворенности населения уровнем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благоустройства;</w:t>
            </w:r>
          </w:p>
          <w:p w:rsidR="007A3792" w:rsidRDefault="007A3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Улучшение санитарного и экологического состояния населенных пунктов;</w:t>
            </w:r>
          </w:p>
          <w:p w:rsidR="007A3792" w:rsidRDefault="007A37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Привлечение молодого поколения к участию по благоустройству населенных пунктов</w:t>
            </w:r>
          </w:p>
        </w:tc>
      </w:tr>
    </w:tbl>
    <w:p w:rsidR="007A3792" w:rsidRDefault="007A3792" w:rsidP="007A3792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Характеристика проблемы.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 благоустройства населенных пунктов необходимо проводить программным методом.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разработана на основании Федерального закона от 06.10.2003 года № 131-ФЗ «Об общих принципах организации местного самоуправления в Российской Федерации» и конкретизирует целевые критерии развития благоустройства  сельского поселения «Ижма» на 2018-2020 годы.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Назрела необходимость в реконструкции уличного освещения на территории поселения, ремонт и устройство дренажно-ливневой канализации, обустройство территории парка, ремонт и строительство пешеходных тротуаров (дорожек).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Финансово – </w:t>
      </w:r>
      <w:proofErr w:type="gramStart"/>
      <w:r>
        <w:rPr>
          <w:rFonts w:ascii="Times New Roman" w:hAnsi="Times New Roman"/>
          <w:sz w:val="24"/>
          <w:szCs w:val="24"/>
        </w:rPr>
        <w:t>экономические механизмы</w:t>
      </w:r>
      <w:proofErr w:type="gramEnd"/>
      <w:r>
        <w:rPr>
          <w:rFonts w:ascii="Times New Roman" w:hAnsi="Times New Roman"/>
          <w:sz w:val="24"/>
          <w:szCs w:val="24"/>
        </w:rPr>
        <w:t>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полностью соответствует приоритетам социально-экономического развития сельского поселения «Ижма» на среднесрочную перспективу. Реализация программы направлена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условий для улучшения качества жизни населения;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осуществление мероприятий по обеспечению безопасности жизнедеятельности и сохранения окружающей среды.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данной проблемы является организация и ежегодное проведение конкурса «Лучший дом, двор». Жители дворов, домов, принимавшие участие в благоустройстве, будут принимать участие в обеспечении сохранности объектов благоустройства.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2018-2020 годов необходимо организовать и провести: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-смотры – конкурсы, направленные на благоустройство муниципального образования: «За лучшее проведение работ по благоустройству, санитарному содержанию прилегающих территорий» с привлечением предприятий, организаций и учреждений;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различные конкурсы, направленные на озеленение дворов, улиц.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7A3792" w:rsidRDefault="007A3792" w:rsidP="007A3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3792" w:rsidRDefault="007A3792" w:rsidP="007A3792">
      <w:pPr>
        <w:spacing w:after="0" w:line="240" w:lineRule="auto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Цели и задачи программы.</w:t>
      </w:r>
    </w:p>
    <w:p w:rsidR="007A3792" w:rsidRDefault="007A3792" w:rsidP="007A3792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сельского поселения «Ижма», повышению комфортности граждан, озеленению территории поселения, улучшения экологической обстановки на территории сельского поселения, создание комфортной среды проживания на территории сельского поселения «Ижма».</w:t>
      </w:r>
    </w:p>
    <w:p w:rsidR="007A3792" w:rsidRDefault="007A3792" w:rsidP="007A3792">
      <w:pPr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необходимо решить следующие задачи:</w:t>
      </w:r>
    </w:p>
    <w:p w:rsidR="007A3792" w:rsidRDefault="007A3792" w:rsidP="007A3792">
      <w:pPr>
        <w:suppressAutoHyphens/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благоустройства и озеленения территории поселения;</w:t>
      </w:r>
    </w:p>
    <w:p w:rsidR="007A3792" w:rsidRDefault="007A3792" w:rsidP="007A3792">
      <w:pPr>
        <w:suppressAutoHyphens/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приведение в качественное состояние элементов благоустройства населенных пунктов;</w:t>
      </w:r>
    </w:p>
    <w:p w:rsidR="007A3792" w:rsidRDefault="007A3792" w:rsidP="007A3792">
      <w:pPr>
        <w:suppressAutoHyphens/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привлечение жителей к участию в решении проблем благоустройства населенных пунктов;</w:t>
      </w:r>
    </w:p>
    <w:p w:rsidR="007A3792" w:rsidRDefault="007A3792" w:rsidP="007A3792">
      <w:pPr>
        <w:suppressAutoHyphens/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организации прочих мероприятий по благоустройству поселения, улучшения санитарно-эпидемиологического состояния территории;</w:t>
      </w:r>
    </w:p>
    <w:p w:rsidR="007A3792" w:rsidRDefault="007A3792" w:rsidP="007A3792">
      <w:pPr>
        <w:suppressAutoHyphens/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рациональное и эффективное использование средств местного бюджета;</w:t>
      </w:r>
    </w:p>
    <w:p w:rsidR="007A3792" w:rsidRDefault="007A3792" w:rsidP="007A3792">
      <w:pPr>
        <w:suppressAutoHyphens/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сельского поселения «Ижма».</w:t>
      </w:r>
    </w:p>
    <w:p w:rsidR="007A3792" w:rsidRDefault="007A3792" w:rsidP="007A3792">
      <w:pPr>
        <w:suppressAutoHyphens/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</w:p>
    <w:p w:rsidR="007A3792" w:rsidRDefault="007A3792" w:rsidP="007A37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реализации Программы и источники финансирования</w:t>
      </w:r>
    </w:p>
    <w:p w:rsidR="007A3792" w:rsidRDefault="007A3792" w:rsidP="007A379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Программы рассчитана на 2018-2020 годы.</w:t>
      </w:r>
    </w:p>
    <w:p w:rsidR="007A3792" w:rsidRDefault="007A3792" w:rsidP="007A3792">
      <w:pPr>
        <w:tabs>
          <w:tab w:val="left" w:pos="0"/>
        </w:tabs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Источником финансирования Программы являются средства бюджета сельского поселения «Ижма».</w:t>
      </w:r>
    </w:p>
    <w:p w:rsidR="007A3792" w:rsidRDefault="007A3792" w:rsidP="007A3792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финансирования на реализацию Программы составляет 4810,26 тыс. рублей, в том числе по годам:</w:t>
      </w:r>
    </w:p>
    <w:p w:rsidR="007A3792" w:rsidRDefault="007A3792" w:rsidP="007A37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- 2018 год 2060,52 тыс. рублей, </w:t>
      </w:r>
    </w:p>
    <w:p w:rsidR="007A3792" w:rsidRDefault="007A3792" w:rsidP="007A37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- 2019 год 1441,87 тыс. рублей, </w:t>
      </w:r>
    </w:p>
    <w:p w:rsidR="007A3792" w:rsidRDefault="007A3792" w:rsidP="007A37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- 2020 год 1307,87 тыс. рублей.</w:t>
      </w:r>
    </w:p>
    <w:p w:rsidR="007A3792" w:rsidRDefault="007A3792" w:rsidP="007A3792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Объемы финансирования Программы по мероприятиям и годам подлежат уточнению при формировании бюджета сельского поселения «Ижма» на соответствующий финансовый год.</w:t>
      </w:r>
    </w:p>
    <w:p w:rsidR="007A3792" w:rsidRDefault="007A3792" w:rsidP="007A3792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</w:p>
    <w:p w:rsidR="007A3792" w:rsidRDefault="007A3792" w:rsidP="007A3792">
      <w:pPr>
        <w:spacing w:after="0" w:line="240" w:lineRule="auto"/>
        <w:ind w:left="-142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программных мероприятий</w:t>
      </w:r>
    </w:p>
    <w:p w:rsidR="007A3792" w:rsidRDefault="007A3792" w:rsidP="007A3792">
      <w:pPr>
        <w:spacing w:after="0" w:line="240" w:lineRule="auto"/>
        <w:ind w:left="-142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программных мероприятий, сроки их реализации, информация о необходимых ресурсах приведены в следующей таблице:</w:t>
      </w:r>
    </w:p>
    <w:tbl>
      <w:tblPr>
        <w:tblW w:w="106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1"/>
        <w:gridCol w:w="3952"/>
        <w:gridCol w:w="302"/>
        <w:gridCol w:w="1138"/>
        <w:gridCol w:w="138"/>
        <w:gridCol w:w="34"/>
        <w:gridCol w:w="1448"/>
        <w:gridCol w:w="172"/>
        <w:gridCol w:w="47"/>
        <w:gridCol w:w="1401"/>
        <w:gridCol w:w="158"/>
        <w:gridCol w:w="14"/>
        <w:gridCol w:w="1032"/>
        <w:gridCol w:w="76"/>
        <w:gridCol w:w="12"/>
      </w:tblGrid>
      <w:tr w:rsidR="007A3792" w:rsidTr="007A3792">
        <w:trPr>
          <w:gridAfter w:val="2"/>
          <w:wAfter w:w="88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89" w:right="-104" w:firstLine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на 2018г. (тыс. руб.)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на 2019 г. (тыс. руб.)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на 2020 г. (тыс. руб.)</w:t>
            </w:r>
          </w:p>
        </w:tc>
        <w:tc>
          <w:tcPr>
            <w:tcW w:w="1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7A3792" w:rsidTr="007A3792">
        <w:trPr>
          <w:gridAfter w:val="1"/>
          <w:wAfter w:w="12" w:type="dxa"/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9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tabs>
                <w:tab w:val="center" w:pos="451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Обеспеченность поселения сетями наружного освещения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по уличному освещению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линий уличного освещения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Аренда имущества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электроопор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341,8</w:t>
            </w:r>
          </w:p>
        </w:tc>
      </w:tr>
      <w:tr w:rsidR="007A3792" w:rsidTr="007A3792">
        <w:trPr>
          <w:gridAfter w:val="1"/>
          <w:wAfter w:w="12" w:type="dxa"/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деревянных</w:t>
            </w:r>
            <w:proofErr w:type="gramEnd"/>
          </w:p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опор, кабельной продукции, светильников для уличного освещения 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ОС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МЗ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637,8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1877,8</w:t>
            </w:r>
          </w:p>
        </w:tc>
      </w:tr>
      <w:tr w:rsidR="007A3792" w:rsidTr="007A3792">
        <w:trPr>
          <w:gridAfter w:val="1"/>
          <w:wAfter w:w="12" w:type="dxa"/>
          <w:trHeight w:val="5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9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tabs>
                <w:tab w:val="center" w:pos="451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Качественное содержание улично-дорожной сети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улично-дорожной сети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дорожных знаков 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885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1835</w:t>
            </w:r>
          </w:p>
        </w:tc>
      </w:tr>
      <w:tr w:rsidR="007A3792" w:rsidTr="007A3792">
        <w:trPr>
          <w:gridAfter w:val="1"/>
          <w:wAfter w:w="12" w:type="dxa"/>
          <w:trHeight w:val="4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9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7A3792" w:rsidTr="007A3792">
        <w:trPr>
          <w:gridAfter w:val="1"/>
          <w:wAfter w:w="12" w:type="dxa"/>
          <w:trHeight w:val="4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9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tabs>
                <w:tab w:val="left" w:pos="330"/>
                <w:tab w:val="center" w:pos="451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благоустройства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 и наледи, сбор мусора, подсыпка тротуаров песком, вывоз снега, ремонт скважины, распиловка лесных насаждений и т. д.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307,72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241,87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222,87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772,46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ОС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МЗ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транспортных услуг по доставке шлака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детского игрового оборудования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 видеонаблюдения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A3792" w:rsidTr="007A3792">
        <w:trPr>
          <w:gridAfter w:val="1"/>
          <w:wAfter w:w="12" w:type="dxa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3792" w:rsidRDefault="007A3792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517,72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286,87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262,87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1067,46</w:t>
            </w:r>
          </w:p>
        </w:tc>
      </w:tr>
      <w:tr w:rsidR="007A3792" w:rsidTr="007A379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2060,52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1441,87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1307,87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92" w:rsidRDefault="007A37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4810,26</w:t>
            </w:r>
          </w:p>
        </w:tc>
      </w:tr>
    </w:tbl>
    <w:p w:rsidR="007A3792" w:rsidRDefault="007A3792" w:rsidP="007A3792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Механизм реализации, организация управления и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ходом реализации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реализацией Программы осуществляет муниципальный заказчик Программы - Администрация сельского поселения «Ижма». 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экономический анализ эффективности программных проектов и мероприятий Программы;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предложений по составлению плана инвестиционных и текущих расходов на очередной период;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 бюджета и уточнения возможных объемов финансирования из других источников;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 объемов финансирования, указанных в таблице № 1 к настоящей Программе, по объектам благоустройства осуществляется Муниципальным заказчиком Программы.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Программы - администрация сельского поселения «Ижма»: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ежеквартально собирает информацию об исполнении каждого мероприятия Программы в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реализацией Программы осуществляется администрацией сельского поселения «Ижма», Советом депутатов сельского поселения «Ижма».</w:t>
      </w:r>
    </w:p>
    <w:p w:rsidR="007A3792" w:rsidRDefault="007A3792" w:rsidP="007A379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A3792" w:rsidRDefault="007A3792" w:rsidP="007A3792">
      <w:pPr>
        <w:autoSpaceDE w:val="0"/>
        <w:autoSpaceDN w:val="0"/>
        <w:adjustRightInd w:val="0"/>
        <w:spacing w:line="240" w:lineRule="auto"/>
        <w:ind w:firstLine="425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эффективности социально-экономических и экологических последствий от реализации программы</w:t>
      </w:r>
    </w:p>
    <w:p w:rsidR="007A3792" w:rsidRDefault="007A3792" w:rsidP="007A3792">
      <w:pPr>
        <w:pStyle w:val="a9"/>
        <w:spacing w:before="0" w:beforeAutospacing="0" w:after="0" w:afterAutospacing="0"/>
        <w:ind w:firstLine="425"/>
        <w:jc w:val="both"/>
      </w:pPr>
      <w:r>
        <w:t>Прогнозируемые конечные результаты реализации Программы предусматривают повышение уровня благоустройства территории поселения, улучшение санитарного содержания территорий, экологической безопасности поселения.</w:t>
      </w:r>
    </w:p>
    <w:p w:rsidR="007A3792" w:rsidRDefault="007A3792" w:rsidP="007A3792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результате реализации программы ожидается создание условий, обеспечивающих комфортные условия для работы и отдыха населения на территории сельского поселения «Ижма».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Будет скоординирована деятельность предприятий, обеспечивающих благоустройство населенных пунктов и предприятий, имеющих в аренде инженерные сети.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Эффективность программы оценивается по следующим показателям: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процент соответствия объектов внешнего благоустройства (озеленения, наружного освещения) ГОСТу;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процент привлечения жителей поселения к работам по благоустройству;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уровень благоустроенности территорий поселения (обеспеченность поселения  сетями наружного освещения, зелеными насаждениями, детскими игровыми  площадками).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реализации Программы ожидается: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увеличение площади благоустроенных  зелёных насаждений в поселении; 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п</w:t>
      </w:r>
      <w:r>
        <w:rPr>
          <w:rFonts w:ascii="Times New Roman" w:hAnsi="Times New Roman"/>
          <w:sz w:val="24"/>
          <w:szCs w:val="24"/>
        </w:rPr>
        <w:t>редотвращение загрязнения населенных пунктов поселения;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качественное содержание улично-дорожной сети; 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 мест захоронения.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количественным показателям реализации Программы относятся: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увеличение освещенности улиц поселения;</w:t>
      </w:r>
    </w:p>
    <w:p w:rsidR="007A3792" w:rsidRDefault="007A3792" w:rsidP="007A3792">
      <w:pPr>
        <w:tabs>
          <w:tab w:val="left" w:pos="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сокращение несанкционированных свалок бытового мусора.</w:t>
      </w:r>
    </w:p>
    <w:p w:rsidR="007A3792" w:rsidRDefault="007A3792" w:rsidP="007A3792">
      <w:pPr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благоустройство села</w:t>
      </w:r>
    </w:p>
    <w:p w:rsidR="00CC38DF" w:rsidRDefault="00CC38DF" w:rsidP="00CC38DF">
      <w:pPr>
        <w:pStyle w:val="ConsPlusNormal"/>
        <w:ind w:left="6372" w:firstLine="708"/>
        <w:jc w:val="right"/>
      </w:pPr>
      <w:bookmarkStart w:id="0" w:name="_GoBack"/>
      <w:bookmarkEnd w:id="0"/>
    </w:p>
    <w:p w:rsidR="00B03D92" w:rsidRDefault="00B03D92"/>
    <w:sectPr w:rsidR="00B03D92" w:rsidSect="007C63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50"/>
    <w:rsid w:val="001D39F0"/>
    <w:rsid w:val="00616D50"/>
    <w:rsid w:val="007A3792"/>
    <w:rsid w:val="007C6383"/>
    <w:rsid w:val="00B03D92"/>
    <w:rsid w:val="00CC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DF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CC38DF"/>
    <w:pPr>
      <w:keepNext/>
      <w:spacing w:after="0" w:line="240" w:lineRule="auto"/>
      <w:outlineLvl w:val="0"/>
    </w:pPr>
    <w:rPr>
      <w:rFonts w:ascii="Times New Roman" w:hAnsi="Times New Roman"/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rsid w:val="00CC38DF"/>
    <w:rPr>
      <w:rFonts w:eastAsia="Times New Roman"/>
      <w:b/>
      <w:lang w:val="x-none" w:eastAsia="x-none"/>
    </w:rPr>
  </w:style>
  <w:style w:type="paragraph" w:customStyle="1" w:styleId="ConsPlusTitle">
    <w:name w:val="ConsPlusTitle"/>
    <w:rsid w:val="00CC38D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ConsPlusNormal">
    <w:name w:val="ConsPlusNormal"/>
    <w:rsid w:val="00CC38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a6">
    <w:name w:val="Основной текст_"/>
    <w:link w:val="13"/>
    <w:qFormat/>
    <w:locked/>
    <w:rsid w:val="00CC38DF"/>
    <w:rPr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6"/>
    <w:qFormat/>
    <w:rsid w:val="00CC38DF"/>
    <w:pPr>
      <w:shd w:val="clear" w:color="auto" w:fill="FFFFFF"/>
      <w:spacing w:after="360" w:line="240" w:lineRule="auto"/>
    </w:pPr>
    <w:rPr>
      <w:rFonts w:ascii="Times New Roman" w:eastAsia="Calibri" w:hAnsi="Times New Roman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C3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38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semiHidden/>
    <w:unhideWhenUsed/>
    <w:rsid w:val="007A37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DF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CC38DF"/>
    <w:pPr>
      <w:keepNext/>
      <w:spacing w:after="0" w:line="240" w:lineRule="auto"/>
      <w:outlineLvl w:val="0"/>
    </w:pPr>
    <w:rPr>
      <w:rFonts w:ascii="Times New Roman" w:hAnsi="Times New Roman"/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/>
    </w:pPr>
    <w:rPr>
      <w:rFonts w:eastAsia="Calibri" w:cs="Mangal"/>
      <w:i/>
      <w:iCs/>
      <w:sz w:val="24"/>
      <w:szCs w:val="24"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rsid w:val="00CC38DF"/>
    <w:rPr>
      <w:rFonts w:eastAsia="Times New Roman"/>
      <w:b/>
      <w:lang w:val="x-none" w:eastAsia="x-none"/>
    </w:rPr>
  </w:style>
  <w:style w:type="paragraph" w:customStyle="1" w:styleId="ConsPlusTitle">
    <w:name w:val="ConsPlusTitle"/>
    <w:rsid w:val="00CC38D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ConsPlusNormal">
    <w:name w:val="ConsPlusNormal"/>
    <w:rsid w:val="00CC38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a6">
    <w:name w:val="Основной текст_"/>
    <w:link w:val="13"/>
    <w:qFormat/>
    <w:locked/>
    <w:rsid w:val="00CC38DF"/>
    <w:rPr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6"/>
    <w:qFormat/>
    <w:rsid w:val="00CC38DF"/>
    <w:pPr>
      <w:shd w:val="clear" w:color="auto" w:fill="FFFFFF"/>
      <w:spacing w:after="360" w:line="240" w:lineRule="auto"/>
    </w:pPr>
    <w:rPr>
      <w:rFonts w:ascii="Times New Roman" w:eastAsia="Calibri" w:hAnsi="Times New Roman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C3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38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semiHidden/>
    <w:unhideWhenUsed/>
    <w:rsid w:val="007A37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65224-C7B0-473E-B2ED-03788555F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2208</Words>
  <Characters>12592</Characters>
  <Application>Microsoft Office Word</Application>
  <DocSecurity>0</DocSecurity>
  <Lines>104</Lines>
  <Paragraphs>29</Paragraphs>
  <ScaleCrop>false</ScaleCrop>
  <Company/>
  <LinksUpToDate>false</LinksUpToDate>
  <CharactersWithSpaces>14771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2018-04-28T11:45:00Z</dcterms:created>
  <dcterms:modified xsi:type="dcterms:W3CDTF">2018-05-03T12:11:00Z</dcterms:modified>
</cp:coreProperties>
</file>